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B5BA" w14:textId="77777777" w:rsidR="003A51CD" w:rsidRDefault="003A51CD" w:rsidP="004C6695">
      <w:pPr>
        <w:pStyle w:val="BodyText"/>
        <w:bidi/>
        <w:jc w:val="center"/>
        <w:rPr>
          <w:rFonts w:cs="Arial"/>
          <w:b/>
          <w:bCs/>
          <w:sz w:val="24"/>
          <w:szCs w:val="24"/>
          <w:rtl/>
          <w:lang w:val="ms-MY"/>
        </w:rPr>
      </w:pPr>
      <w:r w:rsidRPr="004946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عنوان المقالة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A51CD">
        <w:rPr>
          <w:rFonts w:ascii="Palatino Linotype" w:hAnsi="Palatino Linotype" w:cs="Arial"/>
          <w:b/>
          <w:bCs/>
          <w:sz w:val="24"/>
          <w:szCs w:val="24"/>
          <w:lang w:val="ms-MY"/>
        </w:rPr>
        <w:t>(TRADITIONAL ARABIC SIZE 18, BOLD, CENTRE)</w:t>
      </w:r>
    </w:p>
    <w:p w14:paraId="4A990226" w14:textId="77777777" w:rsidR="00A96063" w:rsidRDefault="00A96063" w:rsidP="001012FB">
      <w:pPr>
        <w:pStyle w:val="BodyText"/>
        <w:rPr>
          <w:rFonts w:ascii="Palatino Linotype" w:hAnsi="Palatino Linotype" w:cs="Arial"/>
          <w:b/>
          <w:bCs/>
          <w:sz w:val="24"/>
          <w:szCs w:val="24"/>
          <w:rtl/>
          <w:lang w:val="ms-MY"/>
        </w:rPr>
      </w:pPr>
    </w:p>
    <w:p w14:paraId="6AF45B85" w14:textId="77777777" w:rsidR="003A51CD" w:rsidRDefault="003A51CD" w:rsidP="004C6695">
      <w:pPr>
        <w:pStyle w:val="BodyText"/>
        <w:bidi/>
        <w:jc w:val="center"/>
        <w:rPr>
          <w:rFonts w:ascii="Palatino Linotype" w:hAnsi="Palatino Linotype" w:cs="Arial"/>
          <w:sz w:val="22"/>
          <w:szCs w:val="22"/>
          <w:vertAlign w:val="superscript"/>
          <w:rtl/>
        </w:rPr>
      </w:pPr>
      <w:r w:rsidRPr="003A51CD">
        <w:rPr>
          <w:rFonts w:ascii="Traditional Arabic" w:hAnsi="Traditional Arabic" w:cs="Traditional Arabic"/>
          <w:sz w:val="32"/>
          <w:szCs w:val="32"/>
          <w:rtl/>
          <w:lang w:val="ms-MY"/>
        </w:rPr>
        <w:t>اسم</w:t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 الكاتب الأول،</w:t>
      </w:r>
      <w:r w:rsidRPr="003A51CD">
        <w:rPr>
          <w:rFonts w:ascii="Palatino Linotype" w:hAnsi="Palatino Linotype" w:cs="Arial"/>
          <w:sz w:val="22"/>
          <w:szCs w:val="22"/>
          <w:vertAlign w:val="superscript"/>
        </w:rPr>
        <w:t xml:space="preserve"> </w:t>
      </w:r>
      <w:proofErr w:type="spellStart"/>
      <w:r w:rsidRPr="00DF1E21">
        <w:rPr>
          <w:rFonts w:ascii="Palatino Linotype" w:hAnsi="Palatino Linotype" w:cs="Arial"/>
          <w:sz w:val="22"/>
          <w:szCs w:val="22"/>
          <w:vertAlign w:val="superscript"/>
        </w:rPr>
        <w:t>i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 </w:t>
      </w:r>
      <w:r w:rsidRPr="003A51CD">
        <w:rPr>
          <w:rFonts w:ascii="Traditional Arabic" w:hAnsi="Traditional Arabic" w:cs="Traditional Arabic"/>
          <w:sz w:val="32"/>
          <w:szCs w:val="32"/>
          <w:rtl/>
          <w:lang w:val="ms-MY"/>
        </w:rPr>
        <w:t>اسم</w:t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 الكاتب الثاني (إن وجد)،</w:t>
      </w:r>
      <w:r w:rsidRPr="00DF1E21">
        <w:rPr>
          <w:rFonts w:ascii="Palatino Linotype" w:hAnsi="Palatino Linotype" w:cs="Arial"/>
          <w:sz w:val="22"/>
          <w:szCs w:val="22"/>
          <w:vertAlign w:val="superscript"/>
        </w:rPr>
        <w:t>ii</w:t>
      </w:r>
      <w:r w:rsidRPr="003A51CD">
        <w:rPr>
          <w:rFonts w:ascii="Traditional Arabic" w:hAnsi="Traditional Arabic" w:cs="Traditional Arabic"/>
          <w:sz w:val="32"/>
          <w:szCs w:val="32"/>
          <w:rtl/>
          <w:lang w:val="ms-MY"/>
        </w:rPr>
        <w:t xml:space="preserve"> اسم</w:t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 الكاتب الثاني (إن وجد)</w:t>
      </w:r>
      <w:r w:rsidRPr="003A51CD">
        <w:rPr>
          <w:rFonts w:ascii="Palatino Linotype" w:hAnsi="Palatino Linotype" w:cs="Arial"/>
          <w:sz w:val="22"/>
          <w:szCs w:val="22"/>
          <w:vertAlign w:val="superscript"/>
        </w:rPr>
        <w:t xml:space="preserve"> </w:t>
      </w:r>
      <w:r w:rsidRPr="00DF1E21">
        <w:rPr>
          <w:rFonts w:ascii="Palatino Linotype" w:hAnsi="Palatino Linotype" w:cs="Arial"/>
          <w:sz w:val="22"/>
          <w:szCs w:val="22"/>
          <w:vertAlign w:val="superscript"/>
        </w:rPr>
        <w:t>iii</w:t>
      </w:r>
    </w:p>
    <w:p w14:paraId="3B67F6DA" w14:textId="77777777" w:rsidR="003A51CD" w:rsidRDefault="003A51CD" w:rsidP="004C6695">
      <w:pPr>
        <w:pStyle w:val="BodyText"/>
        <w:bidi/>
        <w:jc w:val="center"/>
        <w:rPr>
          <w:rFonts w:ascii="Traditional Arabic" w:hAnsi="Traditional Arabic" w:cs="Traditional Arabic"/>
          <w:sz w:val="32"/>
          <w:szCs w:val="32"/>
          <w:vertAlign w:val="superscript"/>
          <w:rtl/>
        </w:rPr>
      </w:pPr>
    </w:p>
    <w:p w14:paraId="1E75D4A7" w14:textId="77777777" w:rsidR="003A51CD" w:rsidRDefault="003A51CD" w:rsidP="004C6695">
      <w:pPr>
        <w:pStyle w:val="BodyText"/>
        <w:bidi/>
        <w:jc w:val="center"/>
        <w:rPr>
          <w:rFonts w:ascii="Palatino Linotype" w:hAnsi="Palatino Linotype" w:cs="Arial"/>
          <w:sz w:val="18"/>
          <w:szCs w:val="18"/>
          <w:rtl/>
        </w:rPr>
      </w:pPr>
      <w:proofErr w:type="spellStart"/>
      <w:r w:rsidRPr="005F5647">
        <w:rPr>
          <w:rFonts w:ascii="Palatino Linotype" w:hAnsi="Palatino Linotype" w:cs="Arial"/>
          <w:sz w:val="18"/>
          <w:szCs w:val="18"/>
          <w:vertAlign w:val="superscript"/>
        </w:rPr>
        <w:t>i</w:t>
      </w:r>
      <w:proofErr w:type="spellEnd"/>
      <w:r w:rsidRPr="003A51C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A51CD">
        <w:rPr>
          <w:rFonts w:ascii="Traditional Arabic" w:hAnsi="Traditional Arabic" w:cs="Traditional Arabic" w:hint="cs"/>
          <w:sz w:val="28"/>
          <w:szCs w:val="28"/>
          <w:rtl/>
        </w:rPr>
        <w:t>المنصب، المؤسسة، العنوان.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F5647">
        <w:rPr>
          <w:rFonts w:ascii="Palatino Linotype" w:hAnsi="Palatino Linotype" w:cs="Arial"/>
          <w:sz w:val="18"/>
          <w:szCs w:val="18"/>
        </w:rPr>
        <w:t>emel@emel.com</w:t>
      </w:r>
    </w:p>
    <w:p w14:paraId="296BBAC6" w14:textId="77777777" w:rsidR="003A51CD" w:rsidRDefault="003A51CD" w:rsidP="004C6695">
      <w:pPr>
        <w:pStyle w:val="BodyText"/>
        <w:bidi/>
        <w:jc w:val="center"/>
        <w:rPr>
          <w:rFonts w:ascii="Palatino Linotype" w:hAnsi="Palatino Linotype" w:cs="Arial"/>
          <w:sz w:val="18"/>
          <w:szCs w:val="18"/>
          <w:rtl/>
        </w:rPr>
      </w:pPr>
      <w:r w:rsidRPr="005F5647">
        <w:rPr>
          <w:rFonts w:ascii="Palatino Linotype" w:hAnsi="Palatino Linotype" w:cs="Arial"/>
          <w:sz w:val="18"/>
          <w:szCs w:val="18"/>
          <w:vertAlign w:val="superscript"/>
        </w:rPr>
        <w:t>ii</w:t>
      </w:r>
      <w:r w:rsidRPr="003A51C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A51CD">
        <w:rPr>
          <w:rFonts w:ascii="Traditional Arabic" w:hAnsi="Traditional Arabic" w:cs="Traditional Arabic" w:hint="cs"/>
          <w:sz w:val="28"/>
          <w:szCs w:val="28"/>
          <w:rtl/>
        </w:rPr>
        <w:t>المنصب، المؤسسة، العنوان.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F5647">
        <w:rPr>
          <w:rFonts w:ascii="Palatino Linotype" w:hAnsi="Palatino Linotype" w:cs="Arial"/>
          <w:sz w:val="18"/>
          <w:szCs w:val="18"/>
        </w:rPr>
        <w:t>emel@emel.com</w:t>
      </w:r>
    </w:p>
    <w:p w14:paraId="24E908EF" w14:textId="77777777" w:rsidR="003A51CD" w:rsidRDefault="003A51CD" w:rsidP="004C6695">
      <w:pPr>
        <w:pStyle w:val="BodyText"/>
        <w:bidi/>
        <w:jc w:val="center"/>
        <w:rPr>
          <w:rFonts w:ascii="Palatino Linotype" w:hAnsi="Palatino Linotype" w:cs="Arial"/>
          <w:sz w:val="18"/>
          <w:szCs w:val="18"/>
        </w:rPr>
      </w:pPr>
      <w:r w:rsidRPr="005F5647">
        <w:rPr>
          <w:rFonts w:ascii="Palatino Linotype" w:hAnsi="Palatino Linotype" w:cs="Arial"/>
          <w:sz w:val="18"/>
          <w:szCs w:val="18"/>
          <w:vertAlign w:val="superscript"/>
        </w:rPr>
        <w:t>iii</w:t>
      </w:r>
      <w:r w:rsidRPr="003A51C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A51CD">
        <w:rPr>
          <w:rFonts w:ascii="Traditional Arabic" w:hAnsi="Traditional Arabic" w:cs="Traditional Arabic" w:hint="cs"/>
          <w:sz w:val="28"/>
          <w:szCs w:val="28"/>
          <w:rtl/>
        </w:rPr>
        <w:t>المنصب، المؤسسة، العنوان.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F5647">
        <w:rPr>
          <w:rFonts w:ascii="Palatino Linotype" w:hAnsi="Palatino Linotype" w:cs="Arial"/>
          <w:sz w:val="18"/>
          <w:szCs w:val="18"/>
        </w:rPr>
        <w:t>emel@emel.com</w:t>
      </w:r>
    </w:p>
    <w:p w14:paraId="1B088BD9" w14:textId="77777777" w:rsidR="009C7EEF" w:rsidRPr="009C7EEF" w:rsidRDefault="009C7EEF" w:rsidP="009C7EEF">
      <w:pPr>
        <w:pStyle w:val="BodyText"/>
        <w:bidi/>
        <w:jc w:val="center"/>
        <w:rPr>
          <w:rFonts w:ascii="Palatino Linotype" w:hAnsi="Palatino Linotype" w:cs="Arial"/>
          <w:sz w:val="18"/>
          <w:szCs w:val="18"/>
          <w:rtl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1012FB" w:rsidRPr="005F5647" w14:paraId="3D22ED29" w14:textId="77777777" w:rsidTr="001012FB">
        <w:tc>
          <w:tcPr>
            <w:tcW w:w="8815" w:type="dxa"/>
          </w:tcPr>
          <w:p w14:paraId="1F0B96AF" w14:textId="77777777" w:rsidR="001012FB" w:rsidRPr="003A51CD" w:rsidRDefault="001012FB" w:rsidP="004C669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BE710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ملخص البحث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(النموذج)</w:t>
            </w:r>
          </w:p>
          <w:p w14:paraId="1AA0838E" w14:textId="77777777" w:rsidR="001012FB" w:rsidRPr="000E4895" w:rsidRDefault="001012FB" w:rsidP="004C6695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E489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يهدف هذا البحث إلى تحليل المتطلبات الشرعية لتحول المصارف التقليدية نحو الصيرفة الإسلامية؛ من خلال الإجابة على سؤالين رئيسن؛ هما: ما ماهية التحول ودوافعه، وما المتطلبات الشرعية للتحول؟ وقد اتبع البحث المنهج الوصفي التحليلي، وقد توصل إلى جملة نتائج تتعلق </w:t>
            </w:r>
            <w:r w:rsidRPr="000E489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المتطلبات الشرعیة للتحول</w:t>
            </w:r>
            <w:r w:rsidRPr="000E489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، فثمة </w:t>
            </w:r>
            <w:r w:rsidRPr="000E4895">
              <w:rPr>
                <w:rFonts w:ascii="Traditional Arabic" w:hAnsi="Traditional Arabic" w:cs="Traditional Arabic"/>
                <w:sz w:val="32"/>
                <w:szCs w:val="32"/>
                <w:rtl/>
              </w:rPr>
              <w:t>أمور وإجراءات یتوجب على المصرف التقلیدي القیام بها عند تنفیذ التحول</w:t>
            </w:r>
            <w:r w:rsidRPr="000E489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نحو الصيرفة الإسلامية؛ منها: مجموعة من القرارات الإدارية الشرعية في هيكلة عمل المصرف، وإنشاء هيئة للفتوى والرقابة الشرعية.</w:t>
            </w:r>
          </w:p>
          <w:p w14:paraId="1AE3991C" w14:textId="77777777" w:rsidR="001012FB" w:rsidRDefault="001012FB" w:rsidP="004C6695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28757554" w14:textId="77777777" w:rsidR="001012FB" w:rsidRPr="005F5647" w:rsidRDefault="001012FB" w:rsidP="004C6695">
            <w:pPr>
              <w:pStyle w:val="BodyText"/>
              <w:bidi/>
              <w:rPr>
                <w:rFonts w:ascii="Palatino Linotype" w:hAnsi="Palatino Linotype" w:cs="Arial"/>
                <w:b/>
                <w:bCs/>
                <w:sz w:val="24"/>
                <w:szCs w:val="24"/>
                <w:lang w:val="ms-MY"/>
              </w:rPr>
            </w:pPr>
            <w:r w:rsidRPr="000E489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الكلمات المفتاحية: الت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حول، المتطلبات، الشرعية، المصارف</w:t>
            </w:r>
            <w:r w:rsidRPr="000E489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 التقليدية.</w:t>
            </w:r>
          </w:p>
        </w:tc>
      </w:tr>
    </w:tbl>
    <w:p w14:paraId="7FF108F8" w14:textId="77777777" w:rsidR="00C70863" w:rsidRPr="005F5647" w:rsidRDefault="00C70863" w:rsidP="004C6695">
      <w:pPr>
        <w:pStyle w:val="BodyText"/>
        <w:jc w:val="center"/>
        <w:rPr>
          <w:rFonts w:ascii="Palatino Linotype" w:hAnsi="Palatino Linotype" w:cs="Arial"/>
          <w:sz w:val="24"/>
          <w:szCs w:val="24"/>
          <w:lang w:val="ms-MY"/>
        </w:rPr>
      </w:pPr>
    </w:p>
    <w:p w14:paraId="5CF21272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3D0C7C"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  <w:t>مقدمة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</w:t>
      </w:r>
      <w:r>
        <w:rPr>
          <w:rFonts w:cs="Arial"/>
          <w:b/>
          <w:bCs/>
          <w:sz w:val="24"/>
          <w:szCs w:val="24"/>
          <w:lang w:val="ms-MY"/>
        </w:rPr>
        <w:t xml:space="preserve">(TRADITIONAL ARABIC SIZE 16, BOLD, </w:t>
      </w:r>
      <w:r w:rsidRPr="0049468E">
        <w:rPr>
          <w:rFonts w:cs="Arial"/>
          <w:b/>
          <w:bCs/>
          <w:sz w:val="24"/>
          <w:szCs w:val="24"/>
          <w:lang w:val="ms-MY"/>
        </w:rPr>
        <w:t>JUSTIFY</w:t>
      </w:r>
      <w:r>
        <w:rPr>
          <w:rFonts w:cs="Arial"/>
          <w:b/>
          <w:bCs/>
          <w:sz w:val="24"/>
          <w:szCs w:val="24"/>
          <w:lang w:val="ms-MY"/>
        </w:rPr>
        <w:t>)</w:t>
      </w:r>
    </w:p>
    <w:p w14:paraId="4DBA7F19" w14:textId="77777777" w:rsidR="00A05B73" w:rsidRPr="00AC1BD6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الأولى</w:t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>.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  <w:lang w:val="ms-MY"/>
        </w:rPr>
        <w:footnoteReference w:id="1"/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 </w:t>
      </w:r>
      <w:r w:rsidRPr="00AC1BD6">
        <w:rPr>
          <w:rFonts w:cs="Arial"/>
          <w:sz w:val="24"/>
          <w:szCs w:val="24"/>
          <w:lang w:val="ms-MY"/>
        </w:rPr>
        <w:t>(TRADITIONAL ARABIC SIZE 16, UNBOLD, JUSTIFY)</w:t>
      </w:r>
    </w:p>
    <w:p w14:paraId="06AABA34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الثانية.</w:t>
      </w:r>
    </w:p>
    <w:p w14:paraId="5EB60161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الثالثة.</w:t>
      </w:r>
    </w:p>
    <w:p w14:paraId="075FD1B0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</w:p>
    <w:p w14:paraId="01FC128D" w14:textId="77777777" w:rsidR="00A05B73" w:rsidRPr="00AC1BD6" w:rsidRDefault="00A05B73" w:rsidP="004C6695">
      <w:pPr>
        <w:pStyle w:val="BodyText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AC1BD6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>المبحث الأول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</w:t>
      </w:r>
      <w:r>
        <w:rPr>
          <w:rFonts w:cs="Arial"/>
          <w:b/>
          <w:bCs/>
          <w:sz w:val="24"/>
          <w:szCs w:val="24"/>
          <w:lang w:val="ms-MY"/>
        </w:rPr>
        <w:t xml:space="preserve">(TRADITIONAL ARABIC SIZE 16, BOLD, </w:t>
      </w:r>
      <w:r w:rsidRPr="0049468E">
        <w:rPr>
          <w:rFonts w:cs="Arial"/>
          <w:b/>
          <w:bCs/>
          <w:sz w:val="24"/>
          <w:szCs w:val="24"/>
          <w:lang w:val="ms-MY"/>
        </w:rPr>
        <w:t>JUSTIFY</w:t>
      </w:r>
      <w:r>
        <w:rPr>
          <w:rFonts w:cs="Arial"/>
          <w:b/>
          <w:bCs/>
          <w:sz w:val="24"/>
          <w:szCs w:val="24"/>
          <w:lang w:val="ms-MY"/>
        </w:rPr>
        <w:t>)</w:t>
      </w:r>
    </w:p>
    <w:p w14:paraId="3E6054E2" w14:textId="77777777" w:rsidR="00A05B73" w:rsidRPr="00AC1BD6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الأولى</w:t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. </w:t>
      </w:r>
      <w:r w:rsidRPr="00AC1BD6">
        <w:rPr>
          <w:rFonts w:cs="Arial"/>
          <w:sz w:val="24"/>
          <w:szCs w:val="24"/>
          <w:lang w:val="ms-MY"/>
        </w:rPr>
        <w:t>(TRADITIONAL ARABIC SIZE 16, UNBOLD, JUSTIFY)</w:t>
      </w:r>
    </w:p>
    <w:p w14:paraId="10A53BA5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الثانية.</w:t>
      </w:r>
    </w:p>
    <w:p w14:paraId="2DEDF5BF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الثالثة.</w:t>
      </w:r>
    </w:p>
    <w:p w14:paraId="1CF95AD5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</w:p>
    <w:p w14:paraId="251E6AEF" w14:textId="77777777" w:rsidR="00A05B73" w:rsidRPr="00AC1BD6" w:rsidRDefault="00A05B73" w:rsidP="004C6695">
      <w:pPr>
        <w:pStyle w:val="BodyText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AC1BD6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>المطلب الأول (</w:t>
      </w:r>
      <w:r w:rsidR="00956A73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>إن</w:t>
      </w:r>
      <w:r w:rsidRPr="00AC1BD6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يوجد)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</w:t>
      </w:r>
      <w:r>
        <w:rPr>
          <w:rFonts w:cs="Arial"/>
          <w:b/>
          <w:bCs/>
          <w:sz w:val="24"/>
          <w:szCs w:val="24"/>
          <w:lang w:val="ms-MY"/>
        </w:rPr>
        <w:t xml:space="preserve">(TRADITIONAL ARABIC SIZE 16, BOLD, </w:t>
      </w:r>
      <w:r w:rsidRPr="0049468E">
        <w:rPr>
          <w:rFonts w:cs="Arial"/>
          <w:b/>
          <w:bCs/>
          <w:sz w:val="24"/>
          <w:szCs w:val="24"/>
          <w:lang w:val="ms-MY"/>
        </w:rPr>
        <w:t>JUSTIFY</w:t>
      </w:r>
      <w:r>
        <w:rPr>
          <w:rFonts w:cs="Arial"/>
          <w:b/>
          <w:bCs/>
          <w:sz w:val="24"/>
          <w:szCs w:val="24"/>
          <w:lang w:val="ms-MY"/>
        </w:rPr>
        <w:t>)</w:t>
      </w:r>
    </w:p>
    <w:p w14:paraId="1AF9063A" w14:textId="77777777" w:rsidR="00A05B73" w:rsidRPr="00AC1BD6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الأولى</w:t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. </w:t>
      </w:r>
      <w:r w:rsidRPr="00AC1BD6">
        <w:rPr>
          <w:rFonts w:cs="Arial"/>
          <w:sz w:val="24"/>
          <w:szCs w:val="24"/>
          <w:lang w:val="ms-MY"/>
        </w:rPr>
        <w:t>(TRADITIONAL ARABIC SIZE 16, UNBOLD, JUSTIFY)</w:t>
      </w:r>
    </w:p>
    <w:p w14:paraId="5E70A9C6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lastRenderedPageBreak/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الثانية.</w:t>
      </w:r>
    </w:p>
    <w:p w14:paraId="232DEE71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الفقرة الثالثة. </w:t>
      </w:r>
    </w:p>
    <w:p w14:paraId="342132E7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</w:p>
    <w:p w14:paraId="78AA9730" w14:textId="77777777" w:rsidR="00A05B73" w:rsidRPr="00AC1BD6" w:rsidRDefault="00A05B73" w:rsidP="004C6695">
      <w:pPr>
        <w:pStyle w:val="BodyText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خاتمة </w:t>
      </w:r>
      <w:r>
        <w:rPr>
          <w:rFonts w:cs="Arial"/>
          <w:b/>
          <w:bCs/>
          <w:sz w:val="24"/>
          <w:szCs w:val="24"/>
          <w:lang w:val="ms-MY"/>
        </w:rPr>
        <w:t xml:space="preserve">(TRADITIONAL ARABIC SIZE 16, BOLD, </w:t>
      </w:r>
      <w:r w:rsidRPr="0049468E">
        <w:rPr>
          <w:rFonts w:cs="Arial"/>
          <w:b/>
          <w:bCs/>
          <w:sz w:val="24"/>
          <w:szCs w:val="24"/>
          <w:lang w:val="ms-MY"/>
        </w:rPr>
        <w:t>JUSTIFY</w:t>
      </w:r>
      <w:r>
        <w:rPr>
          <w:rFonts w:cs="Arial"/>
          <w:b/>
          <w:bCs/>
          <w:sz w:val="24"/>
          <w:szCs w:val="24"/>
          <w:lang w:val="ms-MY"/>
        </w:rPr>
        <w:t>)</w:t>
      </w:r>
    </w:p>
    <w:p w14:paraId="43771362" w14:textId="77777777" w:rsidR="00A05B73" w:rsidRPr="00AC1BD6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الأولى</w:t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. </w:t>
      </w:r>
      <w:r w:rsidRPr="00AC1BD6">
        <w:rPr>
          <w:rFonts w:cs="Arial"/>
          <w:sz w:val="24"/>
          <w:szCs w:val="24"/>
          <w:lang w:val="ms-MY"/>
        </w:rPr>
        <w:t>(TRADITIONAL ARABIC SIZE 16, UNBOLD, JUSTIFY)</w:t>
      </w:r>
    </w:p>
    <w:p w14:paraId="4A2F75AF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الثانية.</w:t>
      </w:r>
    </w:p>
    <w:p w14:paraId="19C2A7AC" w14:textId="77777777" w:rsidR="00A05B73" w:rsidRDefault="00A05B73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الثالثة.</w:t>
      </w:r>
    </w:p>
    <w:p w14:paraId="5BA736F1" w14:textId="77777777" w:rsidR="00FB1DAD" w:rsidRDefault="00FB1DAD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</w:p>
    <w:p w14:paraId="38F3A400" w14:textId="77777777" w:rsidR="00FB1DAD" w:rsidRDefault="00FB1DAD" w:rsidP="004C669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E30B30"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  <w:t>المراجع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</w:t>
      </w:r>
    </w:p>
    <w:p w14:paraId="75E775C7" w14:textId="77777777" w:rsidR="00FB1DAD" w:rsidRDefault="00FB1DAD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 w:rsidRPr="00E30B30"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الشرنباصي، رمضان علي السيد. 2002. أحكام الميراث بين الشريعة والقانون. الإسكندرية: منشأة المعارف.</w:t>
      </w:r>
    </w:p>
    <w:p w14:paraId="4B9E5512" w14:textId="77777777" w:rsidR="00FB1DAD" w:rsidRDefault="00FB1DAD" w:rsidP="004C6695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</w:p>
    <w:p w14:paraId="14325E19" w14:textId="77777777" w:rsidR="00A05B73" w:rsidRPr="00A257B7" w:rsidRDefault="00A05B73" w:rsidP="004C6695">
      <w:pPr>
        <w:bidi/>
        <w:spacing w:after="0" w:line="240" w:lineRule="auto"/>
        <w:jc w:val="both"/>
        <w:rPr>
          <w:rFonts w:ascii="Arial" w:hAnsi="Arial"/>
          <w:lang w:val="ms-MY"/>
        </w:rPr>
      </w:pPr>
    </w:p>
    <w:p w14:paraId="6B508E4A" w14:textId="77777777" w:rsidR="00A05B73" w:rsidRDefault="00A05B73" w:rsidP="004C669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E30B30"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  <w:t>المراجع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(لا بد من كتابة المراجع العربية </w:t>
      </w:r>
      <w:r w:rsidR="00FB1DAD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أيضا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>بالأحرف الرومانية كما يلي:)</w:t>
      </w:r>
    </w:p>
    <w:p w14:paraId="0C6FA958" w14:textId="77777777" w:rsidR="00A05B73" w:rsidRDefault="00A05B73" w:rsidP="004C6695">
      <w:pPr>
        <w:bidi/>
        <w:spacing w:after="0" w:line="240" w:lineRule="auto"/>
        <w:ind w:left="662" w:hanging="662"/>
        <w:jc w:val="both"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 w:rsidRPr="00E30B30"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الشرنباصي، رمضان علي السيد. 2002. أحكام الميراث بين الشريعة والقانون. الإسكندرية: منشأة المعارف.</w:t>
      </w:r>
    </w:p>
    <w:p w14:paraId="32C03D35" w14:textId="77777777" w:rsidR="00A05B73" w:rsidRDefault="00A05B73" w:rsidP="004C6695">
      <w:pPr>
        <w:bidi/>
        <w:spacing w:after="0" w:line="240" w:lineRule="auto"/>
        <w:ind w:left="662" w:hanging="662"/>
        <w:jc w:val="both"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 w:rsidRPr="00E30B30">
        <w:rPr>
          <w:rFonts w:ascii="Traditional Arabic" w:hAnsi="Traditional Arabic" w:cs="Traditional Arabic" w:hint="cs"/>
          <w:sz w:val="32"/>
          <w:szCs w:val="32"/>
          <w:u w:val="single"/>
          <w:rtl/>
          <w:lang w:val="ms-MY"/>
        </w:rPr>
        <w:t xml:space="preserve">يكتب كما يلي 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val="ms-MY"/>
        </w:rPr>
        <w:t>بالأحرف الرو</w:t>
      </w:r>
      <w:r w:rsidRPr="00E30B30">
        <w:rPr>
          <w:rFonts w:ascii="Traditional Arabic" w:hAnsi="Traditional Arabic" w:cs="Traditional Arabic" w:hint="cs"/>
          <w:sz w:val="32"/>
          <w:szCs w:val="32"/>
          <w:u w:val="single"/>
          <w:rtl/>
          <w:lang w:val="ms-MY"/>
        </w:rPr>
        <w:t>مانية</w:t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:</w:t>
      </w:r>
    </w:p>
    <w:p w14:paraId="13F8E27D" w14:textId="77777777" w:rsidR="00A05B73" w:rsidRPr="002872D8" w:rsidRDefault="00A05B73" w:rsidP="004C6695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ms-MY"/>
        </w:rPr>
      </w:pPr>
      <w:r w:rsidRPr="002872D8">
        <w:rPr>
          <w:rFonts w:ascii="Arial" w:hAnsi="Arial" w:cs="Arial"/>
          <w:sz w:val="24"/>
          <w:szCs w:val="24"/>
        </w:rPr>
        <w:t>al-</w:t>
      </w:r>
      <w:proofErr w:type="spellStart"/>
      <w:r w:rsidRPr="002872D8">
        <w:rPr>
          <w:rFonts w:ascii="Arial" w:hAnsi="Arial" w:cs="Arial"/>
          <w:sz w:val="24"/>
          <w:szCs w:val="24"/>
        </w:rPr>
        <w:t>Sharanbasiyy</w:t>
      </w:r>
      <w:proofErr w:type="spellEnd"/>
      <w:r w:rsidRPr="002872D8">
        <w:rPr>
          <w:rFonts w:ascii="Arial" w:hAnsi="Arial" w:cs="Arial"/>
          <w:sz w:val="24"/>
          <w:szCs w:val="24"/>
        </w:rPr>
        <w:t xml:space="preserve">, Ramadan </w:t>
      </w:r>
      <w:proofErr w:type="spellStart"/>
      <w:r w:rsidRPr="002872D8">
        <w:rPr>
          <w:rFonts w:ascii="Arial" w:hAnsi="Arial" w:cs="Arial"/>
          <w:sz w:val="24"/>
          <w:szCs w:val="24"/>
          <w:vertAlign w:val="superscript"/>
        </w:rPr>
        <w:t>c</w:t>
      </w:r>
      <w:r w:rsidRPr="002872D8">
        <w:rPr>
          <w:rFonts w:ascii="Arial" w:hAnsi="Arial" w:cs="Arial"/>
          <w:sz w:val="24"/>
          <w:szCs w:val="24"/>
        </w:rPr>
        <w:t>Aliyy</w:t>
      </w:r>
      <w:proofErr w:type="spellEnd"/>
      <w:r w:rsidRPr="002872D8">
        <w:rPr>
          <w:rFonts w:ascii="Arial" w:hAnsi="Arial" w:cs="Arial"/>
          <w:sz w:val="24"/>
          <w:szCs w:val="24"/>
        </w:rPr>
        <w:t xml:space="preserve"> al-Sayyid</w:t>
      </w:r>
      <w:r w:rsidRPr="002872D8">
        <w:rPr>
          <w:rFonts w:ascii="Arial" w:hAnsi="Arial" w:cs="Arial"/>
          <w:sz w:val="24"/>
          <w:szCs w:val="24"/>
          <w:lang w:val="ms-MY"/>
        </w:rPr>
        <w:t xml:space="preserve">. 2002. </w:t>
      </w:r>
      <w:r w:rsidRPr="002872D8">
        <w:rPr>
          <w:rFonts w:ascii="Arial" w:hAnsi="Arial" w:cs="Arial"/>
          <w:i/>
          <w:iCs/>
          <w:sz w:val="24"/>
          <w:szCs w:val="24"/>
          <w:lang w:val="ms-MY"/>
        </w:rPr>
        <w:t>Ahkam al-Mirath Bayna al-Shari</w:t>
      </w:r>
      <w:r w:rsidRPr="002872D8">
        <w:rPr>
          <w:rFonts w:ascii="Arial" w:hAnsi="Arial" w:cs="Arial"/>
          <w:i/>
          <w:iCs/>
          <w:sz w:val="24"/>
          <w:szCs w:val="24"/>
          <w:vertAlign w:val="superscript"/>
          <w:lang w:val="ms-MY"/>
        </w:rPr>
        <w:t>c</w:t>
      </w:r>
      <w:r w:rsidRPr="002872D8">
        <w:rPr>
          <w:rFonts w:ascii="Arial" w:hAnsi="Arial" w:cs="Arial"/>
          <w:i/>
          <w:iCs/>
          <w:sz w:val="24"/>
          <w:szCs w:val="24"/>
          <w:lang w:val="ms-MY"/>
        </w:rPr>
        <w:t>ah Wa al-Qanun</w:t>
      </w:r>
      <w:r w:rsidRPr="002872D8">
        <w:rPr>
          <w:rFonts w:ascii="Arial" w:hAnsi="Arial" w:cs="Arial"/>
          <w:sz w:val="24"/>
          <w:szCs w:val="24"/>
          <w:lang w:val="ms-MY"/>
        </w:rPr>
        <w:t>. al-Iskandariyyah: Mansha’at al-Ma</w:t>
      </w:r>
      <w:r w:rsidRPr="002872D8">
        <w:rPr>
          <w:rFonts w:ascii="Arial" w:hAnsi="Arial" w:cs="Arial"/>
          <w:sz w:val="24"/>
          <w:szCs w:val="24"/>
          <w:vertAlign w:val="superscript"/>
          <w:lang w:val="ms-MY"/>
        </w:rPr>
        <w:t>c</w:t>
      </w:r>
      <w:r w:rsidRPr="002872D8">
        <w:rPr>
          <w:rFonts w:ascii="Arial" w:hAnsi="Arial" w:cs="Arial"/>
          <w:sz w:val="24"/>
          <w:szCs w:val="24"/>
          <w:lang w:val="ms-MY"/>
        </w:rPr>
        <w:t>arif.</w:t>
      </w:r>
    </w:p>
    <w:p w14:paraId="4E158CC8" w14:textId="77777777" w:rsidR="00A05B73" w:rsidRPr="002872D8" w:rsidRDefault="00A05B73" w:rsidP="004C6695">
      <w:pPr>
        <w:bidi/>
        <w:spacing w:after="0" w:line="240" w:lineRule="auto"/>
        <w:ind w:left="662" w:hanging="662"/>
        <w:jc w:val="both"/>
        <w:rPr>
          <w:rFonts w:ascii="Arial" w:hAnsi="Arial" w:cs="Arial"/>
          <w:sz w:val="32"/>
          <w:szCs w:val="32"/>
          <w:lang w:val="ms-MY"/>
        </w:rPr>
      </w:pPr>
    </w:p>
    <w:p w14:paraId="2BC6B76A" w14:textId="77777777" w:rsidR="00FB1DAD" w:rsidRPr="002872D8" w:rsidRDefault="00FB1DAD" w:rsidP="004C66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2872D8">
        <w:rPr>
          <w:rFonts w:ascii="Arial" w:hAnsi="Arial" w:cs="Arial"/>
          <w:b/>
          <w:bCs/>
          <w:sz w:val="24"/>
          <w:szCs w:val="24"/>
          <w:lang w:val="ms-MY"/>
        </w:rPr>
        <w:t xml:space="preserve">REFERENCES (UPPERCASE, </w:t>
      </w:r>
      <w:r w:rsidR="002872D8">
        <w:rPr>
          <w:rFonts w:ascii="Arial" w:hAnsi="Arial" w:cs="Arial"/>
          <w:b/>
          <w:bCs/>
          <w:sz w:val="24"/>
          <w:szCs w:val="24"/>
          <w:lang w:val="ms-MY"/>
        </w:rPr>
        <w:t>ARIAL</w:t>
      </w:r>
      <w:r w:rsidRPr="002872D8">
        <w:rPr>
          <w:rFonts w:ascii="Arial" w:hAnsi="Arial" w:cs="Arial"/>
          <w:b/>
          <w:bCs/>
          <w:sz w:val="24"/>
          <w:szCs w:val="24"/>
          <w:lang w:val="ms-MY"/>
        </w:rPr>
        <w:t>SIZE 12, BOLD, JUSTIFY)</w:t>
      </w:r>
    </w:p>
    <w:p w14:paraId="0177206C" w14:textId="77777777" w:rsidR="00FB1DAD" w:rsidRPr="002872D8" w:rsidRDefault="00FB1DAD" w:rsidP="004C66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14:paraId="52238A94" w14:textId="77777777" w:rsidR="00FB1DAD" w:rsidRPr="002872D8" w:rsidRDefault="00FB1DAD" w:rsidP="004C66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2872D8">
        <w:rPr>
          <w:rFonts w:ascii="Arial" w:hAnsi="Arial" w:cs="Arial"/>
          <w:b/>
          <w:bCs/>
          <w:sz w:val="24"/>
          <w:szCs w:val="24"/>
          <w:lang w:val="ms-MY"/>
        </w:rPr>
        <w:t xml:space="preserve">Book (If any) </w:t>
      </w:r>
      <w:r w:rsidRPr="002872D8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2872D8">
        <w:rPr>
          <w:rFonts w:ascii="Arial" w:hAnsi="Arial" w:cs="Arial"/>
          <w:b/>
          <w:bCs/>
          <w:sz w:val="24"/>
          <w:szCs w:val="24"/>
        </w:rPr>
        <w:t>Arial</w:t>
      </w:r>
      <w:r w:rsidRPr="002872D8">
        <w:rPr>
          <w:rFonts w:ascii="Arial" w:hAnsi="Arial" w:cs="Arial"/>
          <w:b/>
          <w:bCs/>
          <w:sz w:val="24"/>
          <w:szCs w:val="24"/>
        </w:rPr>
        <w:t>size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 xml:space="preserve"> 12, </w:t>
      </w:r>
      <w:proofErr w:type="spellStart"/>
      <w:r w:rsidRPr="002872D8">
        <w:rPr>
          <w:rFonts w:ascii="Arial" w:hAnsi="Arial" w:cs="Arial"/>
          <w:b/>
          <w:bCs/>
          <w:sz w:val="24"/>
          <w:szCs w:val="24"/>
        </w:rPr>
        <w:t>Unbold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>, Justify).</w:t>
      </w:r>
    </w:p>
    <w:p w14:paraId="38882436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ms-MY"/>
        </w:rPr>
      </w:pPr>
      <w:r w:rsidRPr="002872D8">
        <w:rPr>
          <w:rFonts w:ascii="Arial" w:hAnsi="Arial" w:cs="Arial"/>
          <w:sz w:val="24"/>
          <w:szCs w:val="24"/>
        </w:rPr>
        <w:t>al-</w:t>
      </w:r>
      <w:proofErr w:type="spellStart"/>
      <w:r w:rsidRPr="002872D8">
        <w:rPr>
          <w:rFonts w:ascii="Arial" w:hAnsi="Arial" w:cs="Arial"/>
          <w:sz w:val="24"/>
          <w:szCs w:val="24"/>
        </w:rPr>
        <w:t>Sharanbasiyy</w:t>
      </w:r>
      <w:proofErr w:type="spellEnd"/>
      <w:r w:rsidRPr="002872D8">
        <w:rPr>
          <w:rFonts w:ascii="Arial" w:hAnsi="Arial" w:cs="Arial"/>
          <w:sz w:val="24"/>
          <w:szCs w:val="24"/>
        </w:rPr>
        <w:t xml:space="preserve">, Ramadan </w:t>
      </w:r>
      <w:proofErr w:type="spellStart"/>
      <w:r w:rsidRPr="002872D8">
        <w:rPr>
          <w:rFonts w:ascii="Arial" w:hAnsi="Arial" w:cs="Arial"/>
          <w:sz w:val="24"/>
          <w:szCs w:val="24"/>
          <w:vertAlign w:val="superscript"/>
        </w:rPr>
        <w:t>c</w:t>
      </w:r>
      <w:r w:rsidRPr="002872D8">
        <w:rPr>
          <w:rFonts w:ascii="Arial" w:hAnsi="Arial" w:cs="Arial"/>
          <w:sz w:val="24"/>
          <w:szCs w:val="24"/>
        </w:rPr>
        <w:t>Aliyy</w:t>
      </w:r>
      <w:proofErr w:type="spellEnd"/>
      <w:r w:rsidRPr="002872D8">
        <w:rPr>
          <w:rFonts w:ascii="Arial" w:hAnsi="Arial" w:cs="Arial"/>
          <w:sz w:val="24"/>
          <w:szCs w:val="24"/>
        </w:rPr>
        <w:t xml:space="preserve"> al-Sayyid</w:t>
      </w:r>
      <w:r w:rsidRPr="002872D8">
        <w:rPr>
          <w:rFonts w:ascii="Arial" w:hAnsi="Arial" w:cs="Arial"/>
          <w:sz w:val="24"/>
          <w:szCs w:val="24"/>
          <w:lang w:val="ms-MY"/>
        </w:rPr>
        <w:t xml:space="preserve">. 2002. </w:t>
      </w:r>
      <w:r w:rsidRPr="002872D8">
        <w:rPr>
          <w:rFonts w:ascii="Arial" w:hAnsi="Arial" w:cs="Arial"/>
          <w:i/>
          <w:iCs/>
          <w:sz w:val="24"/>
          <w:szCs w:val="24"/>
          <w:lang w:val="ms-MY"/>
        </w:rPr>
        <w:t>Ahkam al-Mirath Bayna al-Shari</w:t>
      </w:r>
      <w:r w:rsidRPr="002872D8">
        <w:rPr>
          <w:rFonts w:ascii="Arial" w:hAnsi="Arial" w:cs="Arial"/>
          <w:i/>
          <w:iCs/>
          <w:sz w:val="24"/>
          <w:szCs w:val="24"/>
          <w:vertAlign w:val="superscript"/>
          <w:lang w:val="ms-MY"/>
        </w:rPr>
        <w:t>c</w:t>
      </w:r>
      <w:r w:rsidRPr="002872D8">
        <w:rPr>
          <w:rFonts w:ascii="Arial" w:hAnsi="Arial" w:cs="Arial"/>
          <w:i/>
          <w:iCs/>
          <w:sz w:val="24"/>
          <w:szCs w:val="24"/>
          <w:lang w:val="ms-MY"/>
        </w:rPr>
        <w:t>ah Wa al-Qanun</w:t>
      </w:r>
      <w:r w:rsidRPr="002872D8">
        <w:rPr>
          <w:rFonts w:ascii="Arial" w:hAnsi="Arial" w:cs="Arial"/>
          <w:sz w:val="24"/>
          <w:szCs w:val="24"/>
          <w:lang w:val="ms-MY"/>
        </w:rPr>
        <w:t>. al-Iskandariyyah: Mansha’at al-Ma</w:t>
      </w:r>
      <w:r w:rsidRPr="002872D8">
        <w:rPr>
          <w:rFonts w:ascii="Arial" w:hAnsi="Arial" w:cs="Arial"/>
          <w:sz w:val="24"/>
          <w:szCs w:val="24"/>
          <w:vertAlign w:val="superscript"/>
          <w:lang w:val="ms-MY"/>
        </w:rPr>
        <w:t>c</w:t>
      </w:r>
      <w:r w:rsidRPr="002872D8">
        <w:rPr>
          <w:rFonts w:ascii="Arial" w:hAnsi="Arial" w:cs="Arial"/>
          <w:sz w:val="24"/>
          <w:szCs w:val="24"/>
          <w:lang w:val="ms-MY"/>
        </w:rPr>
        <w:t>arif.</w:t>
      </w:r>
    </w:p>
    <w:p w14:paraId="59E205C1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ms-MY"/>
        </w:rPr>
      </w:pPr>
    </w:p>
    <w:p w14:paraId="4F03AAA8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2872D8">
        <w:rPr>
          <w:rFonts w:ascii="Arial" w:hAnsi="Arial" w:cs="Arial"/>
          <w:b/>
          <w:bCs/>
          <w:sz w:val="24"/>
          <w:szCs w:val="24"/>
          <w:lang w:val="ms-MY"/>
        </w:rPr>
        <w:t xml:space="preserve">Journal (If any) </w:t>
      </w:r>
      <w:r w:rsidRPr="002872D8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2872D8">
        <w:rPr>
          <w:rFonts w:ascii="Arial" w:hAnsi="Arial" w:cs="Arial"/>
          <w:b/>
          <w:bCs/>
          <w:sz w:val="24"/>
          <w:szCs w:val="24"/>
        </w:rPr>
        <w:t>Arial</w:t>
      </w:r>
      <w:r w:rsidRPr="002872D8">
        <w:rPr>
          <w:rFonts w:ascii="Arial" w:hAnsi="Arial" w:cs="Arial"/>
          <w:b/>
          <w:bCs/>
          <w:sz w:val="24"/>
          <w:szCs w:val="24"/>
        </w:rPr>
        <w:t>size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 xml:space="preserve"> 12, </w:t>
      </w:r>
      <w:proofErr w:type="spellStart"/>
      <w:r w:rsidRPr="002872D8">
        <w:rPr>
          <w:rFonts w:ascii="Arial" w:hAnsi="Arial" w:cs="Arial"/>
          <w:b/>
          <w:bCs/>
          <w:sz w:val="24"/>
          <w:szCs w:val="24"/>
        </w:rPr>
        <w:t>Unbold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>, Justify).</w:t>
      </w:r>
    </w:p>
    <w:p w14:paraId="5AB6DE4C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ms-MY"/>
        </w:rPr>
      </w:pPr>
      <w:r w:rsidRPr="002872D8">
        <w:rPr>
          <w:rFonts w:ascii="Arial" w:hAnsi="Arial" w:cs="Arial"/>
          <w:sz w:val="24"/>
          <w:szCs w:val="24"/>
          <w:lang w:val="ms-MY"/>
        </w:rPr>
        <w:t xml:space="preserve">Mohd Faez Mohd Shah &amp; Noor Naemah Abdul Rahman. 2014. </w:t>
      </w:r>
      <w:r w:rsidRPr="002872D8">
        <w:rPr>
          <w:rFonts w:ascii="Arial" w:hAnsi="Arial" w:cs="Arial"/>
          <w:i/>
          <w:iCs/>
          <w:sz w:val="24"/>
          <w:szCs w:val="24"/>
          <w:lang w:val="ms-MY"/>
        </w:rPr>
        <w:t>Kepentingan Kaedah Penyelidikan Moden Dalam Fatwa Semasa</w:t>
      </w:r>
      <w:r w:rsidRPr="002872D8">
        <w:rPr>
          <w:rFonts w:ascii="Arial" w:hAnsi="Arial" w:cs="Arial"/>
          <w:sz w:val="24"/>
          <w:szCs w:val="24"/>
          <w:lang w:val="ms-MY"/>
        </w:rPr>
        <w:t>. Jurnal Pengurusan dan Penyelidikan Fatwa. Vol. 4. Nilai: Penerbit Universiti Sains Islam Malaysia.</w:t>
      </w:r>
    </w:p>
    <w:p w14:paraId="347AFFB3" w14:textId="77777777" w:rsidR="00FB1DAD" w:rsidRPr="002872D8" w:rsidRDefault="00FB1DAD" w:rsidP="004C66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6DB033B1" w14:textId="77777777" w:rsidR="00FB1DAD" w:rsidRPr="002872D8" w:rsidRDefault="00FB1DAD" w:rsidP="004C66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2872D8">
        <w:rPr>
          <w:rFonts w:ascii="Arial" w:hAnsi="Arial" w:cs="Arial"/>
          <w:b/>
          <w:bCs/>
          <w:sz w:val="24"/>
          <w:szCs w:val="24"/>
          <w:lang w:val="ms-MY"/>
        </w:rPr>
        <w:t xml:space="preserve">Act (If any) </w:t>
      </w:r>
      <w:r w:rsidRPr="002872D8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2872D8">
        <w:rPr>
          <w:rFonts w:ascii="Arial" w:hAnsi="Arial" w:cs="Arial"/>
          <w:b/>
          <w:bCs/>
          <w:sz w:val="24"/>
          <w:szCs w:val="24"/>
        </w:rPr>
        <w:t>Arial</w:t>
      </w:r>
      <w:r w:rsidRPr="002872D8">
        <w:rPr>
          <w:rFonts w:ascii="Arial" w:hAnsi="Arial" w:cs="Arial"/>
          <w:b/>
          <w:bCs/>
          <w:sz w:val="24"/>
          <w:szCs w:val="24"/>
        </w:rPr>
        <w:t>size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 xml:space="preserve"> 12, </w:t>
      </w:r>
      <w:proofErr w:type="spellStart"/>
      <w:r w:rsidRPr="002872D8">
        <w:rPr>
          <w:rFonts w:ascii="Arial" w:hAnsi="Arial" w:cs="Arial"/>
          <w:b/>
          <w:bCs/>
          <w:sz w:val="24"/>
          <w:szCs w:val="24"/>
        </w:rPr>
        <w:t>Unbold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>, Justify).</w:t>
      </w:r>
    </w:p>
    <w:p w14:paraId="1BBBF9F3" w14:textId="77777777" w:rsidR="00FB1DAD" w:rsidRPr="002872D8" w:rsidRDefault="00FB1DAD" w:rsidP="004C6695">
      <w:pPr>
        <w:tabs>
          <w:tab w:val="left" w:pos="8730"/>
        </w:tabs>
        <w:spacing w:after="0" w:line="240" w:lineRule="auto"/>
        <w:ind w:right="-64"/>
        <w:jc w:val="both"/>
        <w:rPr>
          <w:rFonts w:ascii="Arial" w:hAnsi="Arial" w:cs="Arial"/>
          <w:sz w:val="24"/>
          <w:szCs w:val="24"/>
          <w:lang w:val="ms-MY"/>
        </w:rPr>
      </w:pPr>
      <w:r w:rsidRPr="002872D8">
        <w:rPr>
          <w:rFonts w:ascii="Arial" w:hAnsi="Arial" w:cs="Arial"/>
          <w:sz w:val="24"/>
          <w:szCs w:val="24"/>
          <w:lang w:val="ms-MY"/>
        </w:rPr>
        <w:t>Births And Deaths Registration Act 1957.</w:t>
      </w:r>
    </w:p>
    <w:p w14:paraId="1570A171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napToGrid w:val="0"/>
          <w:color w:val="000000"/>
          <w:sz w:val="24"/>
          <w:szCs w:val="24"/>
          <w:lang w:val="ms-MY"/>
        </w:rPr>
      </w:pPr>
    </w:p>
    <w:p w14:paraId="1CEE2E71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napToGrid w:val="0"/>
          <w:color w:val="000000"/>
          <w:sz w:val="24"/>
          <w:szCs w:val="24"/>
          <w:lang w:val="ms-MY"/>
        </w:rPr>
      </w:pPr>
      <w:r w:rsidRPr="002872D8">
        <w:rPr>
          <w:rFonts w:ascii="Arial" w:hAnsi="Arial" w:cs="Arial"/>
          <w:b/>
          <w:bCs/>
          <w:snapToGrid w:val="0"/>
          <w:color w:val="000000"/>
          <w:sz w:val="24"/>
          <w:szCs w:val="24"/>
          <w:lang w:val="ms-MY"/>
        </w:rPr>
        <w:t xml:space="preserve">Internet </w:t>
      </w:r>
      <w:r w:rsidRPr="002872D8">
        <w:rPr>
          <w:rFonts w:ascii="Arial" w:hAnsi="Arial" w:cs="Arial"/>
          <w:b/>
          <w:bCs/>
          <w:sz w:val="24"/>
          <w:szCs w:val="24"/>
          <w:lang w:val="ms-MY"/>
        </w:rPr>
        <w:t xml:space="preserve">(If any) </w:t>
      </w:r>
      <w:r w:rsidRPr="002872D8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2872D8">
        <w:rPr>
          <w:rFonts w:ascii="Arial" w:hAnsi="Arial" w:cs="Arial"/>
          <w:b/>
          <w:bCs/>
          <w:sz w:val="24"/>
          <w:szCs w:val="24"/>
        </w:rPr>
        <w:t>Arial</w:t>
      </w:r>
      <w:r w:rsidRPr="002872D8">
        <w:rPr>
          <w:rFonts w:ascii="Arial" w:hAnsi="Arial" w:cs="Arial"/>
          <w:b/>
          <w:bCs/>
          <w:sz w:val="24"/>
          <w:szCs w:val="24"/>
        </w:rPr>
        <w:t>size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 xml:space="preserve"> 12, </w:t>
      </w:r>
      <w:proofErr w:type="spellStart"/>
      <w:r w:rsidRPr="002872D8">
        <w:rPr>
          <w:rFonts w:ascii="Arial" w:hAnsi="Arial" w:cs="Arial"/>
          <w:b/>
          <w:bCs/>
          <w:sz w:val="24"/>
          <w:szCs w:val="24"/>
        </w:rPr>
        <w:t>Unbold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>, Justify).</w:t>
      </w:r>
    </w:p>
    <w:p w14:paraId="787855FA" w14:textId="77777777" w:rsidR="00FB1DAD" w:rsidRPr="002872D8" w:rsidRDefault="00FB1DAD" w:rsidP="004C6695">
      <w:pPr>
        <w:pStyle w:val="Heading1"/>
        <w:shd w:val="clear" w:color="auto" w:fill="FFFFFF"/>
        <w:spacing w:before="0" w:after="0" w:line="240" w:lineRule="auto"/>
        <w:ind w:left="567" w:hanging="567"/>
        <w:jc w:val="both"/>
        <w:rPr>
          <w:rFonts w:ascii="Arial" w:hAnsi="Arial" w:cs="Arial"/>
          <w:b w:val="0"/>
          <w:bCs w:val="0"/>
          <w:sz w:val="24"/>
          <w:szCs w:val="24"/>
          <w:lang w:val="en"/>
        </w:rPr>
      </w:pPr>
      <w:r w:rsidRPr="002872D8">
        <w:rPr>
          <w:rFonts w:ascii="Arial" w:hAnsi="Arial" w:cs="Arial"/>
          <w:b w:val="0"/>
          <w:bCs w:val="0"/>
          <w:sz w:val="24"/>
          <w:szCs w:val="24"/>
        </w:rPr>
        <w:t xml:space="preserve">Anak </w:t>
      </w:r>
      <w:proofErr w:type="spellStart"/>
      <w:r w:rsidRPr="002872D8">
        <w:rPr>
          <w:rFonts w:ascii="Arial" w:hAnsi="Arial" w:cs="Arial"/>
          <w:b w:val="0"/>
          <w:bCs w:val="0"/>
          <w:sz w:val="24"/>
          <w:szCs w:val="24"/>
        </w:rPr>
        <w:t>Tak</w:t>
      </w:r>
      <w:proofErr w:type="spellEnd"/>
      <w:r w:rsidRPr="002872D8">
        <w:rPr>
          <w:rFonts w:ascii="Arial" w:hAnsi="Arial" w:cs="Arial"/>
          <w:b w:val="0"/>
          <w:bCs w:val="0"/>
          <w:sz w:val="24"/>
          <w:szCs w:val="24"/>
        </w:rPr>
        <w:t xml:space="preserve"> Sah </w:t>
      </w:r>
      <w:proofErr w:type="spellStart"/>
      <w:r w:rsidRPr="002872D8">
        <w:rPr>
          <w:rFonts w:ascii="Arial" w:hAnsi="Arial" w:cs="Arial"/>
          <w:b w:val="0"/>
          <w:bCs w:val="0"/>
          <w:sz w:val="24"/>
          <w:szCs w:val="24"/>
        </w:rPr>
        <w:t>Taraf</w:t>
      </w:r>
      <w:proofErr w:type="spellEnd"/>
      <w:r w:rsidRPr="002872D8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Pr="002872D8">
        <w:rPr>
          <w:rFonts w:ascii="Arial" w:hAnsi="Arial" w:cs="Arial"/>
          <w:b w:val="0"/>
          <w:bCs w:val="0"/>
          <w:sz w:val="24"/>
          <w:szCs w:val="24"/>
          <w:lang w:val="en"/>
        </w:rPr>
        <w:t>http://www.e-fatwa.gov.my/fatwa-kebangsaan/anak-tak-sah-taraf (accessed on 31</w:t>
      </w:r>
      <w:r w:rsidRPr="002872D8">
        <w:rPr>
          <w:rFonts w:ascii="Arial" w:hAnsi="Arial" w:cs="Arial"/>
          <w:b w:val="0"/>
          <w:bCs w:val="0"/>
          <w:sz w:val="24"/>
          <w:szCs w:val="24"/>
          <w:vertAlign w:val="superscript"/>
          <w:lang w:val="en"/>
        </w:rPr>
        <w:t>th</w:t>
      </w:r>
      <w:r w:rsidRPr="002872D8">
        <w:rPr>
          <w:rFonts w:ascii="Arial" w:hAnsi="Arial" w:cs="Arial"/>
          <w:b w:val="0"/>
          <w:bCs w:val="0"/>
          <w:sz w:val="24"/>
          <w:szCs w:val="24"/>
          <w:lang w:val="en"/>
        </w:rPr>
        <w:t xml:space="preserve"> November 2012).</w:t>
      </w:r>
    </w:p>
    <w:p w14:paraId="3B87491D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500CA996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  <w:r w:rsidRPr="002872D8">
        <w:rPr>
          <w:rFonts w:ascii="Arial" w:eastAsia="Times New Roman" w:hAnsi="Arial" w:cs="Arial"/>
          <w:b/>
          <w:bCs/>
          <w:sz w:val="24"/>
          <w:szCs w:val="24"/>
          <w:lang w:val="ms-MY"/>
        </w:rPr>
        <w:t xml:space="preserve">Interview </w:t>
      </w:r>
      <w:r w:rsidRPr="002872D8">
        <w:rPr>
          <w:rFonts w:ascii="Arial" w:hAnsi="Arial" w:cs="Arial"/>
          <w:b/>
          <w:bCs/>
          <w:sz w:val="24"/>
          <w:szCs w:val="24"/>
          <w:lang w:val="ms-MY"/>
        </w:rPr>
        <w:t xml:space="preserve">(If any) </w:t>
      </w:r>
      <w:r w:rsidRPr="002872D8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2872D8">
        <w:rPr>
          <w:rFonts w:ascii="Arial" w:hAnsi="Arial" w:cs="Arial"/>
          <w:b/>
          <w:bCs/>
          <w:sz w:val="24"/>
          <w:szCs w:val="24"/>
        </w:rPr>
        <w:t>Arial</w:t>
      </w:r>
      <w:r w:rsidRPr="002872D8">
        <w:rPr>
          <w:rFonts w:ascii="Arial" w:hAnsi="Arial" w:cs="Arial"/>
          <w:b/>
          <w:bCs/>
          <w:sz w:val="24"/>
          <w:szCs w:val="24"/>
        </w:rPr>
        <w:t>size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 xml:space="preserve"> 12, </w:t>
      </w:r>
      <w:proofErr w:type="spellStart"/>
      <w:r w:rsidRPr="002872D8">
        <w:rPr>
          <w:rFonts w:ascii="Arial" w:hAnsi="Arial" w:cs="Arial"/>
          <w:b/>
          <w:bCs/>
          <w:sz w:val="24"/>
          <w:szCs w:val="24"/>
        </w:rPr>
        <w:t>Unbold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>, Justify).</w:t>
      </w:r>
    </w:p>
    <w:p w14:paraId="10D2C759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ms-MY"/>
        </w:rPr>
      </w:pPr>
      <w:r w:rsidRPr="002872D8">
        <w:rPr>
          <w:rFonts w:ascii="Arial" w:hAnsi="Arial" w:cs="Arial"/>
          <w:bCs/>
          <w:sz w:val="24"/>
          <w:szCs w:val="24"/>
          <w:lang w:val="ms-MY"/>
        </w:rPr>
        <w:t xml:space="preserve">Assoc. Prof. Dr. Irwan bin Mohd Subri. Director, World Fatwa Management and Research Institute (INFAD), Universiti Sains Islam Malaysia (USIM). </w:t>
      </w:r>
      <w:r w:rsidRPr="002872D8">
        <w:rPr>
          <w:rFonts w:ascii="Arial" w:hAnsi="Arial" w:cs="Arial"/>
          <w:sz w:val="24"/>
          <w:szCs w:val="24"/>
          <w:lang w:val="ms-MY"/>
        </w:rPr>
        <w:t>21</w:t>
      </w:r>
      <w:r w:rsidRPr="002872D8">
        <w:rPr>
          <w:rFonts w:ascii="Arial" w:hAnsi="Arial" w:cs="Arial"/>
          <w:sz w:val="24"/>
          <w:szCs w:val="24"/>
          <w:vertAlign w:val="superscript"/>
          <w:lang w:val="ms-MY"/>
        </w:rPr>
        <w:t>th</w:t>
      </w:r>
      <w:r w:rsidRPr="002872D8">
        <w:rPr>
          <w:rFonts w:ascii="Arial" w:hAnsi="Arial" w:cs="Arial"/>
          <w:sz w:val="24"/>
          <w:szCs w:val="24"/>
          <w:lang w:val="ms-MY"/>
        </w:rPr>
        <w:t xml:space="preserve"> June 2017.</w:t>
      </w:r>
    </w:p>
    <w:p w14:paraId="01364B5F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1AF62B2B" w14:textId="77777777" w:rsidR="00FB1DAD" w:rsidRPr="002872D8" w:rsidRDefault="00FB1DAD" w:rsidP="004C669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  <w:r w:rsidRPr="002872D8">
        <w:rPr>
          <w:rFonts w:ascii="Arial" w:eastAsia="Times New Roman" w:hAnsi="Arial" w:cs="Arial"/>
          <w:b/>
          <w:bCs/>
          <w:sz w:val="24"/>
          <w:szCs w:val="24"/>
          <w:lang w:val="ms-MY"/>
        </w:rPr>
        <w:t xml:space="preserve">Cases </w:t>
      </w:r>
      <w:r w:rsidRPr="002872D8">
        <w:rPr>
          <w:rFonts w:ascii="Arial" w:hAnsi="Arial" w:cs="Arial"/>
          <w:b/>
          <w:bCs/>
          <w:sz w:val="24"/>
          <w:szCs w:val="24"/>
          <w:lang w:val="ms-MY"/>
        </w:rPr>
        <w:t xml:space="preserve">(If any) </w:t>
      </w:r>
      <w:r w:rsidRPr="002872D8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2872D8">
        <w:rPr>
          <w:rFonts w:ascii="Arial" w:hAnsi="Arial" w:cs="Arial"/>
          <w:b/>
          <w:bCs/>
          <w:sz w:val="24"/>
          <w:szCs w:val="24"/>
        </w:rPr>
        <w:t>Arial</w:t>
      </w:r>
      <w:r w:rsidRPr="002872D8">
        <w:rPr>
          <w:rFonts w:ascii="Arial" w:hAnsi="Arial" w:cs="Arial"/>
          <w:b/>
          <w:bCs/>
          <w:sz w:val="24"/>
          <w:szCs w:val="24"/>
        </w:rPr>
        <w:t>size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 xml:space="preserve"> 12, </w:t>
      </w:r>
      <w:proofErr w:type="spellStart"/>
      <w:r w:rsidRPr="002872D8">
        <w:rPr>
          <w:rFonts w:ascii="Arial" w:hAnsi="Arial" w:cs="Arial"/>
          <w:b/>
          <w:bCs/>
          <w:sz w:val="24"/>
          <w:szCs w:val="24"/>
        </w:rPr>
        <w:t>Unbold</w:t>
      </w:r>
      <w:proofErr w:type="spellEnd"/>
      <w:r w:rsidRPr="002872D8">
        <w:rPr>
          <w:rFonts w:ascii="Arial" w:hAnsi="Arial" w:cs="Arial"/>
          <w:b/>
          <w:bCs/>
          <w:sz w:val="24"/>
          <w:szCs w:val="24"/>
        </w:rPr>
        <w:t>, Justify).</w:t>
      </w:r>
    </w:p>
    <w:p w14:paraId="70E2D82D" w14:textId="77777777" w:rsidR="00A05B73" w:rsidRPr="002872D8" w:rsidRDefault="00FB1DAD" w:rsidP="004C6695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2872D8">
        <w:rPr>
          <w:rFonts w:ascii="Arial" w:hAnsi="Arial" w:cs="Arial"/>
          <w:i/>
          <w:sz w:val="24"/>
          <w:szCs w:val="24"/>
        </w:rPr>
        <w:t>Zafrin</w:t>
      </w:r>
      <w:proofErr w:type="spellEnd"/>
      <w:r w:rsidRPr="002872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872D8">
        <w:rPr>
          <w:rFonts w:ascii="Arial" w:hAnsi="Arial" w:cs="Arial"/>
          <w:i/>
          <w:sz w:val="24"/>
          <w:szCs w:val="24"/>
        </w:rPr>
        <w:t>Zulhilmi</w:t>
      </w:r>
      <w:proofErr w:type="spellEnd"/>
      <w:r w:rsidRPr="002872D8">
        <w:rPr>
          <w:rFonts w:ascii="Arial" w:hAnsi="Arial" w:cs="Arial"/>
          <w:i/>
          <w:sz w:val="24"/>
          <w:szCs w:val="24"/>
        </w:rPr>
        <w:t xml:space="preserve"> bin </w:t>
      </w:r>
      <w:proofErr w:type="spellStart"/>
      <w:r w:rsidRPr="002872D8">
        <w:rPr>
          <w:rFonts w:ascii="Arial" w:hAnsi="Arial" w:cs="Arial"/>
          <w:i/>
          <w:sz w:val="24"/>
          <w:szCs w:val="24"/>
        </w:rPr>
        <w:t>Pauzi</w:t>
      </w:r>
      <w:proofErr w:type="spellEnd"/>
      <w:r w:rsidRPr="002872D8">
        <w:rPr>
          <w:rFonts w:ascii="Arial" w:hAnsi="Arial" w:cs="Arial"/>
          <w:i/>
          <w:sz w:val="24"/>
          <w:szCs w:val="24"/>
        </w:rPr>
        <w:t xml:space="preserve"> v Noor Aini binti </w:t>
      </w:r>
      <w:proofErr w:type="spellStart"/>
      <w:r w:rsidRPr="002872D8">
        <w:rPr>
          <w:rFonts w:ascii="Arial" w:hAnsi="Arial" w:cs="Arial"/>
          <w:i/>
          <w:sz w:val="24"/>
          <w:szCs w:val="24"/>
        </w:rPr>
        <w:t>Nasron</w:t>
      </w:r>
      <w:proofErr w:type="spellEnd"/>
      <w:r w:rsidRPr="002872D8">
        <w:rPr>
          <w:rFonts w:ascii="Arial" w:hAnsi="Arial" w:cs="Arial"/>
          <w:iCs/>
          <w:sz w:val="24"/>
          <w:szCs w:val="24"/>
        </w:rPr>
        <w:t>.</w:t>
      </w:r>
    </w:p>
    <w:p w14:paraId="498C2D99" w14:textId="77777777" w:rsidR="00A05B73" w:rsidRPr="002872D8" w:rsidRDefault="00A05B73" w:rsidP="004C6695">
      <w:pPr>
        <w:bidi/>
        <w:spacing w:after="0" w:line="240" w:lineRule="auto"/>
        <w:jc w:val="both"/>
        <w:rPr>
          <w:rFonts w:ascii="Arial" w:hAnsi="Arial" w:cs="Arial"/>
        </w:rPr>
      </w:pPr>
    </w:p>
    <w:p w14:paraId="21BE1063" w14:textId="77777777" w:rsidR="00A05B73" w:rsidRPr="002872D8" w:rsidRDefault="00A05B73" w:rsidP="004C6695">
      <w:p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A05B73" w:rsidRPr="002872D8" w:rsidSect="000B5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1411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D2872" w14:textId="77777777" w:rsidR="001600C5" w:rsidRDefault="001600C5" w:rsidP="00C90451">
      <w:pPr>
        <w:spacing w:after="0" w:line="240" w:lineRule="auto"/>
      </w:pPr>
      <w:r>
        <w:separator/>
      </w:r>
    </w:p>
  </w:endnote>
  <w:endnote w:type="continuationSeparator" w:id="0">
    <w:p w14:paraId="322D2FF6" w14:textId="77777777" w:rsidR="001600C5" w:rsidRDefault="001600C5" w:rsidP="00C9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1B3A" w14:textId="77777777" w:rsidR="000B584E" w:rsidRDefault="000B5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836015"/>
      <w:docPartObj>
        <w:docPartGallery w:val="Page Numbers (Bottom of Page)"/>
        <w:docPartUnique/>
      </w:docPartObj>
    </w:sdtPr>
    <w:sdtEndPr>
      <w:rPr>
        <w:rFonts w:ascii="Cambria" w:hAnsi="Cambria" w:cs="Arial"/>
        <w:noProof/>
      </w:rPr>
    </w:sdtEndPr>
    <w:sdtContent>
      <w:p w14:paraId="53211B6A" w14:textId="77777777" w:rsidR="00730BE6" w:rsidRPr="005F5647" w:rsidRDefault="008E20A5" w:rsidP="008E20A5">
        <w:pPr>
          <w:pStyle w:val="Footer"/>
          <w:jc w:val="center"/>
          <w:rPr>
            <w:rFonts w:ascii="Palatino Linotype" w:hAnsi="Palatino Linotype" w:cs="Arial"/>
            <w:noProof/>
            <w:sz w:val="24"/>
            <w:szCs w:val="24"/>
          </w:rPr>
        </w:pPr>
        <w:r w:rsidRPr="005F5647">
          <w:rPr>
            <w:rFonts w:ascii="Palatino Linotype" w:hAnsi="Palatino Linotype" w:cs="Arial"/>
            <w:sz w:val="24"/>
            <w:szCs w:val="24"/>
          </w:rPr>
          <w:fldChar w:fldCharType="begin"/>
        </w:r>
        <w:r w:rsidRPr="005F5647">
          <w:rPr>
            <w:rFonts w:ascii="Palatino Linotype" w:hAnsi="Palatino Linotype" w:cs="Arial"/>
            <w:sz w:val="24"/>
            <w:szCs w:val="24"/>
          </w:rPr>
          <w:instrText xml:space="preserve"> PAGE   \* MERGEFORMAT </w:instrText>
        </w:r>
        <w:r w:rsidRPr="005F5647">
          <w:rPr>
            <w:rFonts w:ascii="Palatino Linotype" w:hAnsi="Palatino Linotype" w:cs="Arial"/>
            <w:sz w:val="24"/>
            <w:szCs w:val="24"/>
          </w:rPr>
          <w:fldChar w:fldCharType="separate"/>
        </w:r>
        <w:r w:rsidR="002872D8">
          <w:rPr>
            <w:rFonts w:ascii="Palatino Linotype" w:hAnsi="Palatino Linotype" w:cs="Arial"/>
            <w:noProof/>
            <w:sz w:val="24"/>
            <w:szCs w:val="24"/>
          </w:rPr>
          <w:t>3</w:t>
        </w:r>
        <w:r w:rsidRPr="005F5647">
          <w:rPr>
            <w:rFonts w:ascii="Palatino Linotype" w:hAnsi="Palatino Linotype" w:cs="Arial"/>
            <w:noProof/>
            <w:sz w:val="24"/>
            <w:szCs w:val="24"/>
          </w:rPr>
          <w:fldChar w:fldCharType="end"/>
        </w:r>
      </w:p>
      <w:p w14:paraId="3825879A" w14:textId="244A5266" w:rsidR="008E20A5" w:rsidRPr="005F5647" w:rsidRDefault="001600C5" w:rsidP="00C70863">
        <w:pPr>
          <w:pStyle w:val="Footer"/>
          <w:jc w:val="right"/>
          <w:rPr>
            <w:rFonts w:ascii="Cambria" w:hAnsi="Cambria" w:cs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177A" w14:textId="77777777" w:rsidR="000B584E" w:rsidRDefault="000B5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53C96" w14:textId="77777777" w:rsidR="001600C5" w:rsidRDefault="001600C5" w:rsidP="00C90451">
      <w:pPr>
        <w:spacing w:after="0" w:line="240" w:lineRule="auto"/>
      </w:pPr>
      <w:r>
        <w:separator/>
      </w:r>
    </w:p>
  </w:footnote>
  <w:footnote w:type="continuationSeparator" w:id="0">
    <w:p w14:paraId="3F78FDE5" w14:textId="77777777" w:rsidR="001600C5" w:rsidRDefault="001600C5" w:rsidP="00C90451">
      <w:pPr>
        <w:spacing w:after="0" w:line="240" w:lineRule="auto"/>
      </w:pPr>
      <w:r>
        <w:continuationSeparator/>
      </w:r>
    </w:p>
  </w:footnote>
  <w:footnote w:id="1">
    <w:p w14:paraId="2539D234" w14:textId="77777777" w:rsidR="00A05B73" w:rsidRPr="00AC1BD6" w:rsidRDefault="00A05B73" w:rsidP="002305E2">
      <w:pPr>
        <w:pStyle w:val="FootnoteText"/>
        <w:bidi/>
        <w:rPr>
          <w:rFonts w:ascii="Traditional Arabic" w:hAnsi="Traditional Arabic" w:cs="Traditional Arabic"/>
          <w:sz w:val="24"/>
          <w:szCs w:val="24"/>
          <w:rtl/>
        </w:rPr>
      </w:pPr>
      <w:r w:rsidRPr="002305E2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2305E2">
        <w:rPr>
          <w:rFonts w:ascii="Traditional Arabic" w:hAnsi="Traditional Arabic" w:cs="Traditional Arabic"/>
          <w:sz w:val="28"/>
          <w:szCs w:val="28"/>
          <w:rtl/>
        </w:rPr>
        <w:t xml:space="preserve"> الهامش (</w:t>
      </w:r>
      <w:r w:rsidR="002305E2" w:rsidRPr="002305E2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2305E2">
        <w:rPr>
          <w:rFonts w:ascii="Traditional Arabic" w:hAnsi="Traditional Arabic" w:cs="Traditional Arabic"/>
          <w:sz w:val="28"/>
          <w:szCs w:val="28"/>
          <w:rtl/>
        </w:rPr>
        <w:t xml:space="preserve"> يوجد)</w:t>
      </w:r>
      <w:r w:rsidRPr="00AC1BD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C1BD6">
        <w:rPr>
          <w:rFonts w:cs="Arial"/>
          <w:lang w:val="ms-MY"/>
        </w:rPr>
        <w:t xml:space="preserve">(TRADITIONAL ARABIC SIZE </w:t>
      </w:r>
      <w:r>
        <w:rPr>
          <w:rFonts w:cs="Arial"/>
          <w:lang w:val="ms-MY"/>
        </w:rPr>
        <w:t>1</w:t>
      </w:r>
      <w:r w:rsidR="002305E2">
        <w:rPr>
          <w:rFonts w:cs="Arial"/>
          <w:lang w:val="ms-MY"/>
        </w:rPr>
        <w:t>4</w:t>
      </w:r>
      <w:r w:rsidRPr="00AC1BD6">
        <w:rPr>
          <w:rFonts w:cs="Arial"/>
          <w:lang w:val="ms-MY"/>
        </w:rPr>
        <w:t>, UNBOLD, JUSTIFY)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69DA7" w14:textId="77777777" w:rsidR="000B584E" w:rsidRDefault="000B5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C5ED1" w14:textId="77777777" w:rsidR="000B584E" w:rsidRDefault="000B5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6D68D" w14:textId="77777777" w:rsidR="000B584E" w:rsidRDefault="000B5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329C6"/>
    <w:multiLevelType w:val="hybridMultilevel"/>
    <w:tmpl w:val="8D8CAE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7C1D"/>
    <w:multiLevelType w:val="hybridMultilevel"/>
    <w:tmpl w:val="7FCA088C"/>
    <w:lvl w:ilvl="0" w:tplc="4409000F">
      <w:start w:val="1"/>
      <w:numFmt w:val="decimal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E363816"/>
    <w:multiLevelType w:val="hybridMultilevel"/>
    <w:tmpl w:val="8F7C0294"/>
    <w:lvl w:ilvl="0" w:tplc="480447DA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51"/>
    <w:rsid w:val="00002CB2"/>
    <w:rsid w:val="00010E3B"/>
    <w:rsid w:val="00017C9A"/>
    <w:rsid w:val="00025577"/>
    <w:rsid w:val="000968E1"/>
    <w:rsid w:val="000B584E"/>
    <w:rsid w:val="001012FB"/>
    <w:rsid w:val="00101370"/>
    <w:rsid w:val="0011022F"/>
    <w:rsid w:val="001600C5"/>
    <w:rsid w:val="00167800"/>
    <w:rsid w:val="0017084F"/>
    <w:rsid w:val="002305E2"/>
    <w:rsid w:val="00234CC0"/>
    <w:rsid w:val="00245CC0"/>
    <w:rsid w:val="0027240A"/>
    <w:rsid w:val="002872D8"/>
    <w:rsid w:val="002A0D81"/>
    <w:rsid w:val="002C10CC"/>
    <w:rsid w:val="002C6181"/>
    <w:rsid w:val="0032324D"/>
    <w:rsid w:val="00324045"/>
    <w:rsid w:val="003A05CA"/>
    <w:rsid w:val="003A51CD"/>
    <w:rsid w:val="003D3F8B"/>
    <w:rsid w:val="003D7DCF"/>
    <w:rsid w:val="0044649E"/>
    <w:rsid w:val="00477E1C"/>
    <w:rsid w:val="0049279D"/>
    <w:rsid w:val="004C6695"/>
    <w:rsid w:val="00545CDF"/>
    <w:rsid w:val="00547904"/>
    <w:rsid w:val="005A32B9"/>
    <w:rsid w:val="005B0725"/>
    <w:rsid w:val="005F24D9"/>
    <w:rsid w:val="005F5647"/>
    <w:rsid w:val="00614FBC"/>
    <w:rsid w:val="00702CD5"/>
    <w:rsid w:val="00730BE6"/>
    <w:rsid w:val="007B11CD"/>
    <w:rsid w:val="00830C8F"/>
    <w:rsid w:val="008E20A5"/>
    <w:rsid w:val="008E2484"/>
    <w:rsid w:val="008F791E"/>
    <w:rsid w:val="0094161E"/>
    <w:rsid w:val="009569A2"/>
    <w:rsid w:val="00956A73"/>
    <w:rsid w:val="009B50F8"/>
    <w:rsid w:val="009C7EEF"/>
    <w:rsid w:val="00A05B73"/>
    <w:rsid w:val="00A2432C"/>
    <w:rsid w:val="00A3776B"/>
    <w:rsid w:val="00A40299"/>
    <w:rsid w:val="00A404E1"/>
    <w:rsid w:val="00A70AAA"/>
    <w:rsid w:val="00A75BAB"/>
    <w:rsid w:val="00A96063"/>
    <w:rsid w:val="00AA5851"/>
    <w:rsid w:val="00B0324E"/>
    <w:rsid w:val="00B52876"/>
    <w:rsid w:val="00B77B26"/>
    <w:rsid w:val="00B84168"/>
    <w:rsid w:val="00BB2CAC"/>
    <w:rsid w:val="00BC337D"/>
    <w:rsid w:val="00BD664B"/>
    <w:rsid w:val="00C55342"/>
    <w:rsid w:val="00C70863"/>
    <w:rsid w:val="00C90451"/>
    <w:rsid w:val="00D23C37"/>
    <w:rsid w:val="00D33CC7"/>
    <w:rsid w:val="00D62F1C"/>
    <w:rsid w:val="00D83F1F"/>
    <w:rsid w:val="00DE695E"/>
    <w:rsid w:val="00DF1E21"/>
    <w:rsid w:val="00E1096A"/>
    <w:rsid w:val="00E25005"/>
    <w:rsid w:val="00E560A9"/>
    <w:rsid w:val="00E778C8"/>
    <w:rsid w:val="00ED5D36"/>
    <w:rsid w:val="00F07EA4"/>
    <w:rsid w:val="00F65499"/>
    <w:rsid w:val="00F83C38"/>
    <w:rsid w:val="00F87F81"/>
    <w:rsid w:val="00F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56C36"/>
  <w15:chartTrackingRefBased/>
  <w15:docId w15:val="{27310853-8AEE-45F6-A785-2F9AAB64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0A5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4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1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451"/>
  </w:style>
  <w:style w:type="paragraph" w:styleId="Footer">
    <w:name w:val="footer"/>
    <w:basedOn w:val="Normal"/>
    <w:link w:val="FooterChar"/>
    <w:uiPriority w:val="99"/>
    <w:unhideWhenUsed/>
    <w:rsid w:val="00C90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451"/>
  </w:style>
  <w:style w:type="table" w:styleId="TableGrid">
    <w:name w:val="Table Grid"/>
    <w:basedOn w:val="TableNormal"/>
    <w:uiPriority w:val="39"/>
    <w:rsid w:val="00C9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02CD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CD5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E20A5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rsid w:val="008E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20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8E20A5"/>
    <w:rPr>
      <w:vertAlign w:val="superscript"/>
    </w:rPr>
  </w:style>
  <w:style w:type="character" w:customStyle="1" w:styleId="hps">
    <w:name w:val="hps"/>
    <w:rsid w:val="008E20A5"/>
  </w:style>
  <w:style w:type="paragraph" w:styleId="BodyText2">
    <w:name w:val="Body Text 2"/>
    <w:basedOn w:val="Normal"/>
    <w:link w:val="BodyText2Char"/>
    <w:uiPriority w:val="99"/>
    <w:unhideWhenUsed/>
    <w:rsid w:val="005F24D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F24D9"/>
    <w:rPr>
      <w:rFonts w:ascii="Calibri" w:eastAsia="Calibri" w:hAnsi="Calibri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4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uiPriority w:val="99"/>
    <w:unhideWhenUsed/>
    <w:rsid w:val="005F24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08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A51C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C7EE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Anak Tak Sah Taraf. http://www.e-fatwa.gov.my/fatwa-kebangsaan/anak-tak-sah-tara</vt:lpstr>
    </vt:vector>
  </TitlesOfParts>
  <Company>Hewlett-Packard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Irwan Mohd Subri</dc:creator>
  <cp:keywords/>
  <dc:description/>
  <cp:lastModifiedBy>Dr. Syamila binti Mansor</cp:lastModifiedBy>
  <cp:revision>57</cp:revision>
  <dcterms:created xsi:type="dcterms:W3CDTF">2017-01-08T10:56:00Z</dcterms:created>
  <dcterms:modified xsi:type="dcterms:W3CDTF">2020-09-23T03:48:00Z</dcterms:modified>
</cp:coreProperties>
</file>